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0000001" w14:textId="39C58663" w:rsidR="00FB3366" w:rsidRDefault="005B40F3">
      <w:pPr>
        <w:jc w:val="center"/>
        <w:rPr>
          <w:b/>
        </w:rPr>
      </w:pPr>
      <w:r>
        <w:rPr>
          <w:b/>
        </w:rPr>
        <w:t>R</w:t>
      </w:r>
      <w:r w:rsidR="0068772C">
        <w:rPr>
          <w:b/>
        </w:rPr>
        <w:t>e</w:t>
      </w:r>
      <w:r w:rsidR="00116617">
        <w:rPr>
          <w:b/>
        </w:rPr>
        <w:t xml:space="preserve">classification </w:t>
      </w:r>
      <w:r w:rsidR="0068772C">
        <w:rPr>
          <w:b/>
        </w:rPr>
        <w:t>request</w:t>
      </w:r>
      <w:r w:rsidR="00CA4FF5">
        <w:rPr>
          <w:b/>
        </w:rPr>
        <w:t xml:space="preserve"> </w:t>
      </w:r>
      <w:r>
        <w:rPr>
          <w:b/>
        </w:rPr>
        <w:t>for indicator 17.5.1</w:t>
      </w:r>
    </w:p>
    <w:p w14:paraId="00000003" w14:textId="23F12937" w:rsidR="00FB3366" w:rsidRDefault="0068772C">
      <w:r>
        <w:rPr>
          <w:b/>
        </w:rPr>
        <w:t>Indicator Number and Name:</w:t>
      </w:r>
      <w:r>
        <w:t xml:space="preserve"> Indicator 17.5.1: Number of countries that adopt and implement investment promotion regimes </w:t>
      </w:r>
      <w:r w:rsidR="00116617" w:rsidRPr="00116617">
        <w:t xml:space="preserve">for developing countries, including </w:t>
      </w:r>
      <w:r w:rsidR="00116617">
        <w:t xml:space="preserve">least developed countries </w:t>
      </w:r>
    </w:p>
    <w:p w14:paraId="00000004" w14:textId="77777777" w:rsidR="00FB3366" w:rsidRDefault="0068772C">
      <w:pPr>
        <w:spacing w:after="120" w:line="240" w:lineRule="auto"/>
      </w:pPr>
      <w:r>
        <w:rPr>
          <w:b/>
        </w:rPr>
        <w:t xml:space="preserve">Custodian Agency(ies): </w:t>
      </w:r>
      <w:r>
        <w:t>UNCTAD</w:t>
      </w:r>
    </w:p>
    <w:p w14:paraId="00000005" w14:textId="77777777" w:rsidR="00FB3366" w:rsidRDefault="0068772C">
      <w:pPr>
        <w:spacing w:after="120" w:line="240" w:lineRule="auto"/>
      </w:pPr>
      <w:bookmarkStart w:id="0" w:name="_gjdgxs" w:colFirst="0" w:colLast="0"/>
      <w:bookmarkEnd w:id="0"/>
      <w:r>
        <w:rPr>
          <w:b/>
        </w:rPr>
        <w:t>Current Tier</w:t>
      </w:r>
      <w:r>
        <w:t>: III</w:t>
      </w:r>
    </w:p>
    <w:p w14:paraId="00000007" w14:textId="0490F4D0" w:rsidR="00FB3366" w:rsidRPr="009450AB" w:rsidRDefault="0068772C">
      <w:pPr>
        <w:spacing w:after="120" w:line="240" w:lineRule="auto"/>
      </w:pPr>
      <w:r>
        <w:rPr>
          <w:b/>
        </w:rPr>
        <w:t>Th</w:t>
      </w:r>
      <w:r w:rsidR="001B5BE8">
        <w:rPr>
          <w:b/>
        </w:rPr>
        <w:t>is</w:t>
      </w:r>
      <w:r>
        <w:rPr>
          <w:b/>
        </w:rPr>
        <w:t xml:space="preserve"> indicator re</w:t>
      </w:r>
      <w:r w:rsidR="00116617">
        <w:rPr>
          <w:b/>
        </w:rPr>
        <w:t xml:space="preserve">classification </w:t>
      </w:r>
      <w:r>
        <w:rPr>
          <w:b/>
        </w:rPr>
        <w:t>request follow</w:t>
      </w:r>
      <w:r w:rsidR="001B5BE8">
        <w:rPr>
          <w:b/>
        </w:rPr>
        <w:t>s</w:t>
      </w:r>
      <w:r>
        <w:rPr>
          <w:b/>
        </w:rPr>
        <w:t xml:space="preserve"> a </w:t>
      </w:r>
      <w:r w:rsidR="001B5BE8">
        <w:rPr>
          <w:b/>
        </w:rPr>
        <w:t>refinement</w:t>
      </w:r>
      <w:r>
        <w:rPr>
          <w:b/>
        </w:rPr>
        <w:t xml:space="preserve"> request.</w:t>
      </w:r>
      <w:r w:rsidR="001B5BE8">
        <w:rPr>
          <w:rStyle w:val="FootnoteReference"/>
          <w:b/>
        </w:rPr>
        <w:footnoteReference w:id="1"/>
      </w:r>
    </w:p>
    <w:p w14:paraId="00000008" w14:textId="77777777" w:rsidR="00FB3366" w:rsidRDefault="0068772C">
      <w:pPr>
        <w:numPr>
          <w:ilvl w:val="0"/>
          <w:numId w:val="3"/>
        </w:numPr>
        <w:pBdr>
          <w:top w:val="nil"/>
          <w:left w:val="nil"/>
          <w:bottom w:val="nil"/>
          <w:right w:val="nil"/>
          <w:between w:val="nil"/>
        </w:pBdr>
        <w:spacing w:after="120" w:line="240" w:lineRule="auto"/>
        <w:jc w:val="both"/>
        <w:rPr>
          <w:b/>
          <w:color w:val="000000"/>
        </w:rPr>
      </w:pPr>
      <w:r>
        <w:rPr>
          <w:b/>
          <w:color w:val="000000"/>
        </w:rPr>
        <w:t>Background and rationale for indicator re-classification</w:t>
      </w:r>
    </w:p>
    <w:p w14:paraId="00000009" w14:textId="7FBB4BDC" w:rsidR="00FB3366" w:rsidRPr="009450AB" w:rsidRDefault="0068772C" w:rsidP="009450AB">
      <w:pPr>
        <w:spacing w:after="120" w:line="240" w:lineRule="auto"/>
        <w:jc w:val="both"/>
      </w:pPr>
      <w:r>
        <w:t xml:space="preserve">Target 17.5 aims to </w:t>
      </w:r>
      <w:r w:rsidRPr="009450AB">
        <w:rPr>
          <w:i/>
          <w:iCs/>
        </w:rPr>
        <w:t>adopt and implement investment promotion regimes for least developed countries</w:t>
      </w:r>
      <w:r w:rsidRPr="009450AB">
        <w:t xml:space="preserve"> (LDCs)</w:t>
      </w:r>
      <w:r>
        <w:t xml:space="preserve">. Most developed countries have investment promotion regimes in place that encourage investment abroad, independent of destination. For the purpose of target 17.5, it would be necessary to find out how many LDCs have benefitted from these promotion tools through investment agreements or by receiving investments from the promoting country. </w:t>
      </w:r>
      <w:r w:rsidRPr="009450AB">
        <w:t xml:space="preserve">SDG indicator 17.5.1, number of countries that </w:t>
      </w:r>
      <w:r w:rsidRPr="009450AB">
        <w:rPr>
          <w:i/>
          <w:iCs/>
        </w:rPr>
        <w:t>adopt and implement investment promotion regimes for</w:t>
      </w:r>
      <w:r w:rsidR="00116617" w:rsidRPr="009450AB">
        <w:rPr>
          <w:i/>
          <w:iCs/>
        </w:rPr>
        <w:t xml:space="preserve"> developing countries, including</w:t>
      </w:r>
      <w:r w:rsidRPr="009450AB">
        <w:rPr>
          <w:i/>
          <w:iCs/>
        </w:rPr>
        <w:t xml:space="preserve"> least developed countries</w:t>
      </w:r>
      <w:r w:rsidRPr="009450AB">
        <w:t xml:space="preserve">, </w:t>
      </w:r>
      <w:r w:rsidR="00116617" w:rsidRPr="009450AB">
        <w:t>aims</w:t>
      </w:r>
      <w:r w:rsidRPr="009450AB">
        <w:t xml:space="preserve"> to assess the achievement of the 2030 Agenda</w:t>
      </w:r>
      <w:r w:rsidR="00116617" w:rsidRPr="009450AB">
        <w:t xml:space="preserve"> in this regard</w:t>
      </w:r>
      <w:r w:rsidRPr="009450AB">
        <w:t xml:space="preserve">. However, there </w:t>
      </w:r>
      <w:r w:rsidR="00116617" w:rsidRPr="009450AB">
        <w:t xml:space="preserve">has </w:t>
      </w:r>
      <w:r w:rsidRPr="009450AB">
        <w:t>no</w:t>
      </w:r>
      <w:r w:rsidR="00116617" w:rsidRPr="009450AB">
        <w:t>t been</w:t>
      </w:r>
      <w:r w:rsidRPr="009450AB">
        <w:t xml:space="preserve"> </w:t>
      </w:r>
      <w:r w:rsidR="00116617" w:rsidRPr="009450AB">
        <w:t xml:space="preserve">any </w:t>
      </w:r>
      <w:r>
        <w:t xml:space="preserve">internationally agreed upon standard on the methodology to measure this indicator, and it has not been defined which measures are allocable to those that support LDCs </w:t>
      </w:r>
      <w:bookmarkStart w:id="1" w:name="_Hlk24620110"/>
      <w:r w:rsidR="00EB7F1A">
        <w:t xml:space="preserve">directly or through measures intended for </w:t>
      </w:r>
      <w:bookmarkEnd w:id="1"/>
      <w:r w:rsidR="001B5BE8">
        <w:t xml:space="preserve">developing countries </w:t>
      </w:r>
      <w:r>
        <w:t xml:space="preserve">and should, thus, be measured. </w:t>
      </w:r>
    </w:p>
    <w:p w14:paraId="0A0B1FCE" w14:textId="3A85AFB8" w:rsidR="00116617" w:rsidRDefault="00116617" w:rsidP="00116617">
      <w:pPr>
        <w:pStyle w:val="ListParagraph"/>
        <w:numPr>
          <w:ilvl w:val="0"/>
          <w:numId w:val="3"/>
        </w:numPr>
        <w:rPr>
          <w:b/>
          <w:color w:val="000000"/>
        </w:rPr>
      </w:pPr>
      <w:r w:rsidRPr="00116617">
        <w:rPr>
          <w:b/>
          <w:color w:val="000000"/>
        </w:rPr>
        <w:t>Information on how and when the methodology has become an international standard and who is the governing body that approves it</w:t>
      </w:r>
    </w:p>
    <w:p w14:paraId="35B2FFD5" w14:textId="31D8936C" w:rsidR="00116617" w:rsidRPr="00116617" w:rsidRDefault="00116617" w:rsidP="00116617">
      <w:pPr>
        <w:spacing w:after="120" w:line="240" w:lineRule="auto"/>
        <w:jc w:val="both"/>
      </w:pPr>
      <w:r>
        <w:t>The methodology has been developed in consultation with UNCTAD member states, and in collaboration between UNCTAD Statistics Branch and UNCTAD Investment</w:t>
      </w:r>
      <w:r w:rsidR="00CA4FF5">
        <w:t xml:space="preserve"> and Enterprise Division.</w:t>
      </w:r>
      <w:r>
        <w:t xml:space="preserve"> </w:t>
      </w:r>
      <w:r w:rsidR="00CA4FF5" w:rsidRPr="00CA4FF5">
        <w:t>The methodology builds on</w:t>
      </w:r>
      <w:r w:rsidR="00CA4FF5">
        <w:t xml:space="preserve"> data on investment promotion already collected by most governments. The four-yearly </w:t>
      </w:r>
      <w:r w:rsidR="00CA4FF5" w:rsidRPr="00CA4FF5">
        <w:t>UNCTAD Conferences</w:t>
      </w:r>
      <w:r w:rsidR="00CA4FF5">
        <w:t>,</w:t>
      </w:r>
      <w:r w:rsidR="00CA4FF5" w:rsidRPr="00CA4FF5">
        <w:t xml:space="preserve"> </w:t>
      </w:r>
      <w:r w:rsidR="00CA4FF5">
        <w:t xml:space="preserve">the </w:t>
      </w:r>
      <w:r w:rsidR="00CA4FF5" w:rsidRPr="00CA4FF5">
        <w:t xml:space="preserve">Trade and Development Board </w:t>
      </w:r>
      <w:r w:rsidR="00CA4FF5">
        <w:t xml:space="preserve">and the </w:t>
      </w:r>
      <w:r w:rsidR="00CA4FF5" w:rsidRPr="00CA4FF5">
        <w:t>Investment, Enterprise and Development Commission</w:t>
      </w:r>
      <w:r w:rsidR="00CA4FF5">
        <w:t xml:space="preserve"> have </w:t>
      </w:r>
      <w:r w:rsidR="00CA4FF5" w:rsidRPr="00CA4FF5">
        <w:t>discuss</w:t>
      </w:r>
      <w:r w:rsidR="00CA4FF5">
        <w:t>ed</w:t>
      </w:r>
      <w:r w:rsidR="00CA4FF5" w:rsidRPr="00CA4FF5">
        <w:t xml:space="preserve"> measures to promote </w:t>
      </w:r>
      <w:r w:rsidR="00CA4FF5">
        <w:t xml:space="preserve">investment </w:t>
      </w:r>
      <w:r w:rsidR="00CA4FF5" w:rsidRPr="00CA4FF5">
        <w:t>to developing countries, including an action plan for a new generation of investment promotion for SDGs</w:t>
      </w:r>
      <w:r w:rsidR="00CA4FF5">
        <w:t>.</w:t>
      </w:r>
    </w:p>
    <w:p w14:paraId="0000000A" w14:textId="16F14212" w:rsidR="00FB3366" w:rsidRDefault="0068772C">
      <w:pPr>
        <w:numPr>
          <w:ilvl w:val="0"/>
          <w:numId w:val="3"/>
        </w:numPr>
        <w:pBdr>
          <w:top w:val="nil"/>
          <w:left w:val="nil"/>
          <w:bottom w:val="nil"/>
          <w:right w:val="nil"/>
          <w:between w:val="nil"/>
        </w:pBdr>
        <w:spacing w:after="120" w:line="240" w:lineRule="auto"/>
        <w:jc w:val="both"/>
        <w:rPr>
          <w:b/>
          <w:color w:val="000000"/>
        </w:rPr>
      </w:pPr>
      <w:r>
        <w:rPr>
          <w:b/>
          <w:color w:val="000000"/>
        </w:rPr>
        <w:t xml:space="preserve">Development and testing of the methodology </w:t>
      </w:r>
    </w:p>
    <w:p w14:paraId="0000000B" w14:textId="363C9B4D" w:rsidR="00FB3366" w:rsidRDefault="0068772C">
      <w:pPr>
        <w:spacing w:after="120" w:line="240" w:lineRule="auto"/>
        <w:jc w:val="both"/>
      </w:pPr>
      <w:r>
        <w:t xml:space="preserve">To this end, UNCTAD has held several internal meetings since the beginning of this year. The objective has been to find the most suitable, practical and reliable methodology for measuring indicator 17.5. Discussions focused on the following </w:t>
      </w:r>
      <w:bookmarkStart w:id="2" w:name="_GoBack"/>
      <w:bookmarkEnd w:id="2"/>
      <w:r>
        <w:t xml:space="preserve">topics: </w:t>
      </w:r>
    </w:p>
    <w:p w14:paraId="0000000C" w14:textId="77777777" w:rsidR="00FB3366" w:rsidRDefault="0068772C">
      <w:pPr>
        <w:numPr>
          <w:ilvl w:val="0"/>
          <w:numId w:val="2"/>
        </w:numPr>
        <w:pBdr>
          <w:top w:val="nil"/>
          <w:left w:val="nil"/>
          <w:bottom w:val="nil"/>
          <w:right w:val="nil"/>
          <w:between w:val="nil"/>
        </w:pBdr>
        <w:spacing w:after="120" w:line="240" w:lineRule="auto"/>
        <w:jc w:val="both"/>
        <w:rPr>
          <w:b/>
          <w:i/>
          <w:color w:val="000000"/>
        </w:rPr>
      </w:pPr>
      <w:r>
        <w:rPr>
          <w:b/>
          <w:i/>
          <w:color w:val="000000"/>
        </w:rPr>
        <w:t xml:space="preserve">Target countries of outward investment promotion regimes </w:t>
      </w:r>
    </w:p>
    <w:p w14:paraId="0000000D" w14:textId="77777777" w:rsidR="00FB3366" w:rsidRDefault="0068772C" w:rsidP="009450AB">
      <w:pPr>
        <w:spacing w:after="0" w:line="240" w:lineRule="auto"/>
        <w:jc w:val="both"/>
      </w:pPr>
      <w:r>
        <w:t xml:space="preserve">Two alternatives were explored. They include: </w:t>
      </w:r>
    </w:p>
    <w:p w14:paraId="0000000E" w14:textId="77777777" w:rsidR="00FB3366" w:rsidRDefault="0068772C">
      <w:pPr>
        <w:numPr>
          <w:ilvl w:val="0"/>
          <w:numId w:val="1"/>
        </w:numPr>
        <w:pBdr>
          <w:top w:val="nil"/>
          <w:left w:val="nil"/>
          <w:bottom w:val="nil"/>
          <w:right w:val="nil"/>
          <w:between w:val="nil"/>
        </w:pBdr>
        <w:spacing w:after="0" w:line="240" w:lineRule="auto"/>
        <w:jc w:val="both"/>
        <w:rPr>
          <w:color w:val="000000"/>
        </w:rPr>
      </w:pPr>
      <w:r>
        <w:rPr>
          <w:color w:val="000000"/>
        </w:rPr>
        <w:t xml:space="preserve">Specific investment promotion regimes for LDCs only; </w:t>
      </w:r>
    </w:p>
    <w:p w14:paraId="0000000F" w14:textId="77777777" w:rsidR="00FB3366" w:rsidRDefault="0068772C">
      <w:pPr>
        <w:numPr>
          <w:ilvl w:val="0"/>
          <w:numId w:val="1"/>
        </w:numPr>
        <w:pBdr>
          <w:top w:val="nil"/>
          <w:left w:val="nil"/>
          <w:bottom w:val="nil"/>
          <w:right w:val="nil"/>
          <w:between w:val="nil"/>
        </w:pBdr>
        <w:spacing w:after="120" w:line="240" w:lineRule="auto"/>
        <w:jc w:val="both"/>
        <w:rPr>
          <w:color w:val="000000"/>
        </w:rPr>
      </w:pPr>
      <w:r>
        <w:rPr>
          <w:color w:val="000000"/>
        </w:rPr>
        <w:t xml:space="preserve">Investment promotion regimes for developing countries in general, including LDCs. </w:t>
      </w:r>
    </w:p>
    <w:p w14:paraId="00000010" w14:textId="27A87221" w:rsidR="00FB3366" w:rsidRDefault="0068772C">
      <w:pPr>
        <w:spacing w:after="120" w:line="240" w:lineRule="auto"/>
        <w:jc w:val="both"/>
      </w:pPr>
      <w:r>
        <w:t xml:space="preserve">It was concluded that the methodology should include all developing countries. Only this approach ensures getting a full picture of outward investment promotion with LDCs as beneficiaries, which is better aligned with Target 17.5. </w:t>
      </w:r>
      <w:r w:rsidR="008E3123">
        <w:t xml:space="preserve">By contrast, limiting the research to specific promotion regimes for LDCs only would result in misleading information, because the number of LDCs that receive support through investment promotion regimes for all developing countries is likely to be much higher than the number of LDCs that benefit from LDC-specific promotion regimes. </w:t>
      </w:r>
    </w:p>
    <w:p w14:paraId="00000011" w14:textId="77777777" w:rsidR="00FB3366" w:rsidRDefault="0068772C">
      <w:pPr>
        <w:numPr>
          <w:ilvl w:val="0"/>
          <w:numId w:val="2"/>
        </w:numPr>
        <w:pBdr>
          <w:top w:val="nil"/>
          <w:left w:val="nil"/>
          <w:bottom w:val="nil"/>
          <w:right w:val="nil"/>
          <w:between w:val="nil"/>
        </w:pBdr>
        <w:spacing w:after="120" w:line="240" w:lineRule="auto"/>
        <w:jc w:val="both"/>
        <w:rPr>
          <w:b/>
          <w:i/>
          <w:color w:val="000000"/>
        </w:rPr>
      </w:pPr>
      <w:r>
        <w:rPr>
          <w:b/>
          <w:i/>
          <w:color w:val="000000"/>
        </w:rPr>
        <w:t xml:space="preserve">Types of outward investment promotion regimes </w:t>
      </w:r>
    </w:p>
    <w:p w14:paraId="00000012" w14:textId="77777777" w:rsidR="00FB3366" w:rsidRDefault="0068772C">
      <w:pPr>
        <w:spacing w:after="120" w:line="240" w:lineRule="auto"/>
        <w:jc w:val="both"/>
      </w:pPr>
      <w:r>
        <w:t xml:space="preserve">Discussions also included the issue of </w:t>
      </w:r>
      <w:r>
        <w:rPr>
          <w:i/>
        </w:rPr>
        <w:t>what types</w:t>
      </w:r>
      <w:r>
        <w:t xml:space="preserve"> of investment promotion regimes to look at. Countries use various means to promote foreign investment abroad. The most commonly used </w:t>
      </w:r>
      <w:r>
        <w:lastRenderedPageBreak/>
        <w:t xml:space="preserve">instruments are investment guarantees (i.e. insurance of foreign investment against political risks in the host country), financial or fiscal support for the outward investors as well as the conclusion of investment promotion agreements between the home and the host country of the investment. Besides these legal instruments, countries often also provide information and other advisory services for their outward investors. </w:t>
      </w:r>
    </w:p>
    <w:p w14:paraId="00000013" w14:textId="42A2AD0B" w:rsidR="00FB3366" w:rsidRDefault="0068772C">
      <w:pPr>
        <w:spacing w:after="120" w:line="240" w:lineRule="auto"/>
        <w:jc w:val="both"/>
      </w:pPr>
      <w:r>
        <w:t>As a result of consultations, UNCTAD decided to focu</w:t>
      </w:r>
      <w:r w:rsidR="00116617">
        <w:t>s the indicator</w:t>
      </w:r>
      <w:r>
        <w:t xml:space="preserve"> on the legal investment instruments, since relevant information is usually publicly available (to a certain extent). This is less the case for informal and ad-hoc means of outward investment promotion, such as advisory services. </w:t>
      </w:r>
    </w:p>
    <w:p w14:paraId="00000014" w14:textId="77777777" w:rsidR="00FB3366" w:rsidRDefault="0068772C">
      <w:pPr>
        <w:numPr>
          <w:ilvl w:val="0"/>
          <w:numId w:val="2"/>
        </w:numPr>
        <w:pBdr>
          <w:top w:val="nil"/>
          <w:left w:val="nil"/>
          <w:bottom w:val="nil"/>
          <w:right w:val="nil"/>
          <w:between w:val="nil"/>
        </w:pBdr>
        <w:spacing w:after="120" w:line="240" w:lineRule="auto"/>
        <w:rPr>
          <w:b/>
          <w:i/>
          <w:color w:val="000000"/>
        </w:rPr>
      </w:pPr>
      <w:r>
        <w:rPr>
          <w:b/>
          <w:i/>
          <w:color w:val="000000"/>
        </w:rPr>
        <w:t>Ways to collect information</w:t>
      </w:r>
    </w:p>
    <w:p w14:paraId="00000015" w14:textId="77777777" w:rsidR="00FB3366" w:rsidRDefault="0068772C" w:rsidP="009450AB">
      <w:pPr>
        <w:spacing w:after="0" w:line="240" w:lineRule="auto"/>
        <w:jc w:val="both"/>
      </w:pPr>
      <w:r>
        <w:t xml:space="preserve">As part of the feasibility studies, UNCTAD identified the following data collection means: </w:t>
      </w:r>
    </w:p>
    <w:p w14:paraId="00000016" w14:textId="77777777" w:rsidR="00FB3366" w:rsidRDefault="0068772C">
      <w:pPr>
        <w:numPr>
          <w:ilvl w:val="0"/>
          <w:numId w:val="1"/>
        </w:numPr>
        <w:pBdr>
          <w:top w:val="nil"/>
          <w:left w:val="nil"/>
          <w:bottom w:val="nil"/>
          <w:right w:val="nil"/>
          <w:between w:val="nil"/>
        </w:pBdr>
        <w:spacing w:after="0" w:line="240" w:lineRule="auto"/>
        <w:jc w:val="both"/>
        <w:rPr>
          <w:color w:val="000000"/>
        </w:rPr>
      </w:pPr>
      <w:r>
        <w:rPr>
          <w:color w:val="000000"/>
        </w:rPr>
        <w:t xml:space="preserve">An in-depth pilot study where a limited number of countries that offer outward investment promotion </w:t>
      </w:r>
      <w:r>
        <w:t>we</w:t>
      </w:r>
      <w:r>
        <w:rPr>
          <w:color w:val="000000"/>
        </w:rPr>
        <w:t>re contacted and asked for detailed information;</w:t>
      </w:r>
    </w:p>
    <w:p w14:paraId="00000017" w14:textId="77777777" w:rsidR="00FB3366" w:rsidRDefault="0068772C">
      <w:pPr>
        <w:numPr>
          <w:ilvl w:val="0"/>
          <w:numId w:val="1"/>
        </w:numPr>
        <w:pBdr>
          <w:top w:val="nil"/>
          <w:left w:val="nil"/>
          <w:bottom w:val="nil"/>
          <w:right w:val="nil"/>
          <w:between w:val="nil"/>
        </w:pBdr>
        <w:spacing w:after="0" w:line="240" w:lineRule="auto"/>
        <w:jc w:val="both"/>
        <w:rPr>
          <w:color w:val="000000"/>
        </w:rPr>
      </w:pPr>
      <w:r>
        <w:rPr>
          <w:color w:val="000000"/>
        </w:rPr>
        <w:t xml:space="preserve">A less detailed online questionnaire </w:t>
      </w:r>
      <w:r>
        <w:t xml:space="preserve">for </w:t>
      </w:r>
      <w:r>
        <w:rPr>
          <w:color w:val="000000"/>
        </w:rPr>
        <w:t xml:space="preserve">all outward investment promotion agencies; </w:t>
      </w:r>
    </w:p>
    <w:p w14:paraId="00000018" w14:textId="77777777" w:rsidR="00FB3366" w:rsidRDefault="0068772C">
      <w:pPr>
        <w:numPr>
          <w:ilvl w:val="0"/>
          <w:numId w:val="1"/>
        </w:numPr>
        <w:pBdr>
          <w:top w:val="nil"/>
          <w:left w:val="nil"/>
          <w:bottom w:val="nil"/>
          <w:right w:val="nil"/>
          <w:between w:val="nil"/>
        </w:pBdr>
        <w:spacing w:after="0" w:line="240" w:lineRule="auto"/>
        <w:jc w:val="both"/>
        <w:rPr>
          <w:color w:val="000000"/>
        </w:rPr>
      </w:pPr>
      <w:r>
        <w:rPr>
          <w:color w:val="000000"/>
        </w:rPr>
        <w:t>In-house Internet research</w:t>
      </w:r>
      <w:r>
        <w:t>;</w:t>
      </w:r>
    </w:p>
    <w:p w14:paraId="00000019" w14:textId="40805D9E" w:rsidR="00FB3366" w:rsidRDefault="0068772C">
      <w:pPr>
        <w:numPr>
          <w:ilvl w:val="0"/>
          <w:numId w:val="1"/>
        </w:numPr>
        <w:pBdr>
          <w:top w:val="nil"/>
          <w:left w:val="nil"/>
          <w:bottom w:val="nil"/>
          <w:right w:val="nil"/>
          <w:between w:val="nil"/>
        </w:pBdr>
        <w:spacing w:after="120" w:line="240" w:lineRule="auto"/>
        <w:jc w:val="both"/>
        <w:rPr>
          <w:color w:val="000000"/>
        </w:rPr>
      </w:pPr>
      <w:r>
        <w:rPr>
          <w:color w:val="000000"/>
        </w:rPr>
        <w:t>In-house database on international investment agreements (IIAs).</w:t>
      </w:r>
    </w:p>
    <w:p w14:paraId="63841902" w14:textId="77777777" w:rsidR="00153430" w:rsidRPr="00BD6078" w:rsidRDefault="00153430" w:rsidP="00153430">
      <w:pPr>
        <w:numPr>
          <w:ilvl w:val="0"/>
          <w:numId w:val="2"/>
        </w:numPr>
        <w:pBdr>
          <w:top w:val="nil"/>
          <w:left w:val="nil"/>
          <w:bottom w:val="nil"/>
          <w:right w:val="nil"/>
          <w:between w:val="nil"/>
        </w:pBdr>
        <w:spacing w:after="120" w:line="240" w:lineRule="auto"/>
        <w:rPr>
          <w:b/>
          <w:i/>
          <w:color w:val="000000"/>
        </w:rPr>
      </w:pPr>
      <w:r w:rsidRPr="00BD6078">
        <w:rPr>
          <w:b/>
          <w:i/>
          <w:color w:val="000000"/>
        </w:rPr>
        <w:t xml:space="preserve">Coverage of home countries of outward investment promotion regimes </w:t>
      </w:r>
    </w:p>
    <w:p w14:paraId="5DC043F5" w14:textId="77777777" w:rsidR="00153430" w:rsidRPr="00153430" w:rsidRDefault="00153430" w:rsidP="00153430">
      <w:pPr>
        <w:spacing w:after="120" w:line="240" w:lineRule="auto"/>
        <w:jc w:val="both"/>
      </w:pPr>
      <w:r w:rsidRPr="00153430">
        <w:t xml:space="preserve">There is also a question of </w:t>
      </w:r>
      <w:r w:rsidRPr="00153430">
        <w:rPr>
          <w:i/>
          <w:iCs/>
        </w:rPr>
        <w:t>which countries</w:t>
      </w:r>
      <w:r w:rsidRPr="00153430">
        <w:t xml:space="preserve"> should be included in the measure as home countries of outward investment promotion regimes. The indicator </w:t>
      </w:r>
      <w:r>
        <w:t xml:space="preserve">will not only include measures put in place by developed countries, but also by emerging economies, thus measuring South-South cooperation in this respect in addition. </w:t>
      </w:r>
    </w:p>
    <w:p w14:paraId="0000001A" w14:textId="77777777" w:rsidR="00FB3366" w:rsidRDefault="0068772C">
      <w:pPr>
        <w:numPr>
          <w:ilvl w:val="0"/>
          <w:numId w:val="3"/>
        </w:numPr>
        <w:pBdr>
          <w:top w:val="nil"/>
          <w:left w:val="nil"/>
          <w:bottom w:val="nil"/>
          <w:right w:val="nil"/>
          <w:between w:val="nil"/>
        </w:pBdr>
        <w:spacing w:after="120" w:line="240" w:lineRule="auto"/>
        <w:jc w:val="both"/>
        <w:rPr>
          <w:b/>
          <w:color w:val="000000"/>
        </w:rPr>
      </w:pPr>
      <w:r>
        <w:rPr>
          <w:b/>
          <w:color w:val="000000"/>
        </w:rPr>
        <w:t>Results of the pilot studies and list of countries consulted that are regionally representative</w:t>
      </w:r>
    </w:p>
    <w:p w14:paraId="0000001C" w14:textId="6DC90C1B" w:rsidR="00FB3366" w:rsidRDefault="0068772C">
      <w:pPr>
        <w:spacing w:after="120" w:line="240" w:lineRule="auto"/>
        <w:jc w:val="both"/>
      </w:pPr>
      <w:r w:rsidRPr="009450AB">
        <w:t>UNCTAD contacted six countries (Australia, Canada, France, Germany, Japan and the United Kingdom) regarding the pilot study. So far, Germany has replied illustrating current data availability and gaps.</w:t>
      </w:r>
      <w:r w:rsidR="009450AB">
        <w:t xml:space="preserve"> </w:t>
      </w:r>
      <w:r w:rsidRPr="009450AB">
        <w:t xml:space="preserve">The less detailed online questionnaire has been filled by </w:t>
      </w:r>
      <w:r w:rsidR="009450AB" w:rsidRPr="009450AB">
        <w:t>26</w:t>
      </w:r>
      <w:r w:rsidRPr="009450AB">
        <w:t xml:space="preserve"> countries (situation as of </w:t>
      </w:r>
      <w:r w:rsidR="009450AB" w:rsidRPr="009450AB">
        <w:t>1</w:t>
      </w:r>
      <w:r w:rsidRPr="009450AB">
        <w:t xml:space="preserve">0 </w:t>
      </w:r>
      <w:r w:rsidR="009450AB" w:rsidRPr="009450AB">
        <w:t>Octo</w:t>
      </w:r>
      <w:r w:rsidRPr="009450AB">
        <w:t xml:space="preserve">ber 2019). The answers received vary considerably in length and detail. </w:t>
      </w:r>
      <w:r w:rsidR="009450AB" w:rsidRPr="009450AB">
        <w:t xml:space="preserve">Out of these, 17 countries have adopted investment promotion regimes for LDCs. </w:t>
      </w:r>
    </w:p>
    <w:p w14:paraId="0000001E" w14:textId="429A1F88" w:rsidR="00FB3366" w:rsidRDefault="0068772C">
      <w:pPr>
        <w:spacing w:after="120" w:line="240" w:lineRule="auto"/>
        <w:jc w:val="both"/>
        <w:rPr>
          <w:b/>
        </w:rPr>
      </w:pPr>
      <w:r>
        <w:t>The Internet research is also still ongoing. The first results show that it is sometimes a challenge to find sufficient information through this method, but it can provide complementary information. UNCTAD has a comprehensive database on IIAs concluded with LDCs with full data availability.</w:t>
      </w:r>
    </w:p>
    <w:p w14:paraId="0000001F" w14:textId="77777777" w:rsidR="00FB3366" w:rsidRDefault="0068772C">
      <w:pPr>
        <w:numPr>
          <w:ilvl w:val="0"/>
          <w:numId w:val="3"/>
        </w:numPr>
        <w:pBdr>
          <w:top w:val="nil"/>
          <w:left w:val="nil"/>
          <w:bottom w:val="nil"/>
          <w:right w:val="nil"/>
          <w:between w:val="nil"/>
        </w:pBdr>
        <w:spacing w:after="120" w:line="240" w:lineRule="auto"/>
        <w:jc w:val="both"/>
        <w:rPr>
          <w:b/>
          <w:color w:val="000000"/>
        </w:rPr>
      </w:pPr>
      <w:r>
        <w:rPr>
          <w:b/>
          <w:color w:val="000000"/>
        </w:rPr>
        <w:t>Conclusion</w:t>
      </w:r>
    </w:p>
    <w:p w14:paraId="00000020" w14:textId="77777777" w:rsidR="00FB3366" w:rsidRDefault="0068772C">
      <w:pPr>
        <w:spacing w:after="120" w:line="240" w:lineRule="auto"/>
        <w:jc w:val="both"/>
      </w:pPr>
      <w:r>
        <w:t xml:space="preserve">The research undertaken indicates that it should be possible to collect sufficient information on outward investment promotion regimes for LDCs, using the four research means mentioned above. While UNCTAD already has data on IIAs, it will be more challenging to collect data on other investment promotion instruments. While not all contacted countries are likely to respond to the new survey, the in-house Internet research can – to some extent – fill remaining gaps. </w:t>
      </w:r>
    </w:p>
    <w:p w14:paraId="00000024" w14:textId="4226B941" w:rsidR="00FB3366" w:rsidRDefault="0068772C" w:rsidP="009450AB">
      <w:pPr>
        <w:spacing w:after="120" w:line="240" w:lineRule="auto"/>
        <w:jc w:val="both"/>
      </w:pPr>
      <w:r>
        <w:t>Furthermore, the methodology envisages the indicator on investment promotion regimes to cover investment guarantees, financial or fiscal support measures for outward investors, as well as investment agreements concluded with LDCs.</w:t>
      </w:r>
    </w:p>
    <w:p w14:paraId="00000025" w14:textId="4802E080" w:rsidR="00FB3366" w:rsidRDefault="0068772C" w:rsidP="009450AB">
      <w:pPr>
        <w:spacing w:after="120" w:line="240" w:lineRule="auto"/>
        <w:jc w:val="both"/>
      </w:pPr>
      <w:r>
        <w:t>Data availability for th</w:t>
      </w:r>
      <w:r w:rsidR="008E3123">
        <w:t xml:space="preserve">e existence of these types </w:t>
      </w:r>
      <w:r>
        <w:t>of investment promotion regimes has been evidenced by the UNCTAD SDG Pulse - an online platform on SDGs (</w:t>
      </w:r>
      <w:hyperlink r:id="rId8">
        <w:r w:rsidR="009450AB" w:rsidRPr="009450AB">
          <w:rPr>
            <w:color w:val="4F81BD" w:themeColor="accent1"/>
            <w:u w:val="single"/>
          </w:rPr>
          <w:t>https://sdgpulse.unctad.org/investment/</w:t>
        </w:r>
      </w:hyperlink>
      <w:r w:rsidR="009450AB">
        <w:t>)</w:t>
      </w:r>
      <w:r>
        <w:t>.</w:t>
      </w:r>
    </w:p>
    <w:p w14:paraId="00000026" w14:textId="03401BFA" w:rsidR="00FB3366" w:rsidRPr="009450AB" w:rsidRDefault="0068772C" w:rsidP="009450AB">
      <w:pPr>
        <w:spacing w:after="120" w:line="240" w:lineRule="auto"/>
        <w:jc w:val="both"/>
      </w:pPr>
      <w:r>
        <w:t xml:space="preserve">The results of the feasibility studies confirm the </w:t>
      </w:r>
      <w:r w:rsidR="00116617">
        <w:t xml:space="preserve">measurability of </w:t>
      </w:r>
      <w:r>
        <w:t xml:space="preserve">the indicator. </w:t>
      </w:r>
      <w:r w:rsidR="00153430" w:rsidRPr="009450AB">
        <w:t xml:space="preserve">National statistical offices are not typically involved in the collection of data on investment promotion regimes by governments and hence they have had limited involvement but could take the role of coordinating the compilation of data from different sources in a country. </w:t>
      </w:r>
      <w:r w:rsidR="00116617">
        <w:t>I</w:t>
      </w:r>
      <w:r w:rsidR="00116617" w:rsidRPr="00116617">
        <w:t>ndicator 1</w:t>
      </w:r>
      <w:r w:rsidR="00116617">
        <w:t>7</w:t>
      </w:r>
      <w:r w:rsidR="00116617" w:rsidRPr="00116617">
        <w:t>.</w:t>
      </w:r>
      <w:r w:rsidR="00116617">
        <w:t>5</w:t>
      </w:r>
      <w:r w:rsidR="00116617" w:rsidRPr="00116617">
        <w:t>.1 meet</w:t>
      </w:r>
      <w:r w:rsidR="00116617">
        <w:t>s</w:t>
      </w:r>
      <w:r w:rsidR="00116617" w:rsidRPr="00116617">
        <w:t xml:space="preserve"> the requirements to be classified as Tier II</w:t>
      </w:r>
      <w:r>
        <w:t>.</w:t>
      </w:r>
      <w:r w:rsidR="00116617">
        <w:t xml:space="preserve"> Data collection is planned to start in 2020.</w:t>
      </w:r>
    </w:p>
    <w:sectPr w:rsidR="00FB3366" w:rsidRPr="009450AB" w:rsidSect="00E14EEE">
      <w:footerReference w:type="default" r:id="rId9"/>
      <w:pgSz w:w="11906" w:h="16838"/>
      <w:pgMar w:top="1135" w:right="1440" w:bottom="1440" w:left="1440" w:header="720" w:footer="720" w:gutter="0"/>
      <w:pgNumType w:start="1"/>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0C3D405" w14:textId="77777777" w:rsidR="00F40390" w:rsidRDefault="00F40390">
      <w:pPr>
        <w:spacing w:after="0" w:line="240" w:lineRule="auto"/>
      </w:pPr>
      <w:r>
        <w:separator/>
      </w:r>
    </w:p>
  </w:endnote>
  <w:endnote w:type="continuationSeparator" w:id="0">
    <w:p w14:paraId="6B6B91B7" w14:textId="77777777" w:rsidR="00F40390" w:rsidRDefault="00F4039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Noto Sans Symbols">
    <w:altName w:val="Calibri"/>
    <w:charset w:val="00"/>
    <w:family w:val="auto"/>
    <w:pitch w:val="default"/>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Georgia">
    <w:panose1 w:val="02040502050405020303"/>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000027" w14:textId="0E15CC42" w:rsidR="00FB3366" w:rsidRDefault="0068772C">
    <w:pPr>
      <w:pBdr>
        <w:top w:val="nil"/>
        <w:left w:val="nil"/>
        <w:bottom w:val="nil"/>
        <w:right w:val="nil"/>
        <w:between w:val="nil"/>
      </w:pBdr>
      <w:tabs>
        <w:tab w:val="center" w:pos="4513"/>
        <w:tab w:val="right" w:pos="9026"/>
      </w:tabs>
      <w:spacing w:after="0" w:line="240" w:lineRule="auto"/>
      <w:jc w:val="right"/>
      <w:rPr>
        <w:color w:val="000000"/>
      </w:rPr>
    </w:pPr>
    <w:r>
      <w:rPr>
        <w:color w:val="000000"/>
      </w:rPr>
      <w:fldChar w:fldCharType="begin"/>
    </w:r>
    <w:r>
      <w:rPr>
        <w:color w:val="000000"/>
      </w:rPr>
      <w:instrText>PAGE</w:instrText>
    </w:r>
    <w:r>
      <w:rPr>
        <w:color w:val="000000"/>
      </w:rPr>
      <w:fldChar w:fldCharType="separate"/>
    </w:r>
    <w:r>
      <w:rPr>
        <w:noProof/>
        <w:color w:val="000000"/>
      </w:rPr>
      <w:t>1</w:t>
    </w:r>
    <w:r>
      <w:rPr>
        <w:color w:val="000000"/>
      </w:rPr>
      <w:fldChar w:fldCharType="end"/>
    </w:r>
  </w:p>
  <w:p w14:paraId="00000028" w14:textId="77777777" w:rsidR="00FB3366" w:rsidRDefault="00FB3366">
    <w:pPr>
      <w:pBdr>
        <w:top w:val="nil"/>
        <w:left w:val="nil"/>
        <w:bottom w:val="nil"/>
        <w:right w:val="nil"/>
        <w:between w:val="nil"/>
      </w:pBdr>
      <w:tabs>
        <w:tab w:val="center" w:pos="4513"/>
        <w:tab w:val="right" w:pos="9026"/>
      </w:tabs>
      <w:spacing w:after="0" w:line="240" w:lineRule="auto"/>
      <w:rPr>
        <w:color w:val="00000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9112555" w14:textId="77777777" w:rsidR="00F40390" w:rsidRDefault="00F40390">
      <w:pPr>
        <w:spacing w:after="0" w:line="240" w:lineRule="auto"/>
      </w:pPr>
      <w:r>
        <w:separator/>
      </w:r>
    </w:p>
  </w:footnote>
  <w:footnote w:type="continuationSeparator" w:id="0">
    <w:p w14:paraId="721748A9" w14:textId="77777777" w:rsidR="00F40390" w:rsidRDefault="00F40390">
      <w:pPr>
        <w:spacing w:after="0" w:line="240" w:lineRule="auto"/>
      </w:pPr>
      <w:r>
        <w:continuationSeparator/>
      </w:r>
    </w:p>
  </w:footnote>
  <w:footnote w:id="1">
    <w:p w14:paraId="2E20797F" w14:textId="26CB9104" w:rsidR="001B5BE8" w:rsidRPr="005C75C4" w:rsidRDefault="001B5BE8" w:rsidP="0009023E">
      <w:pPr>
        <w:pStyle w:val="FootnoteText"/>
        <w:rPr>
          <w:lang w:val="en-US"/>
        </w:rPr>
      </w:pPr>
      <w:r>
        <w:rPr>
          <w:rStyle w:val="FootnoteReference"/>
        </w:rPr>
        <w:footnoteRef/>
      </w:r>
      <w:r>
        <w:t xml:space="preserve"> Approved </w:t>
      </w:r>
      <w:r w:rsidR="00EB7F1A">
        <w:t xml:space="preserve">tentatively </w:t>
      </w:r>
      <w:r>
        <w:t xml:space="preserve">by the IAEG-SDG during its </w:t>
      </w:r>
      <w:r>
        <w:rPr>
          <w:lang w:val="en-US"/>
        </w:rPr>
        <w:t>Web</w:t>
      </w:r>
      <w:r w:rsidR="0009023E">
        <w:rPr>
          <w:lang w:val="en-US"/>
        </w:rPr>
        <w:t>E</w:t>
      </w:r>
      <w:r>
        <w:rPr>
          <w:lang w:val="en-US"/>
        </w:rPr>
        <w:t>x meeting of 6 November 2019.</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C35021"/>
    <w:multiLevelType w:val="multilevel"/>
    <w:tmpl w:val="7AE638D2"/>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0FFE3862"/>
    <w:multiLevelType w:val="multilevel"/>
    <w:tmpl w:val="68308C9E"/>
    <w:lvl w:ilvl="0">
      <w:start w:val="1"/>
      <w:numFmt w:val="decimal"/>
      <w:lvlText w:val="%1."/>
      <w:lvlJc w:val="left"/>
      <w:pPr>
        <w:ind w:left="360" w:hanging="360"/>
      </w:p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5F1B5BC7"/>
    <w:multiLevelType w:val="multilevel"/>
    <w:tmpl w:val="5886830C"/>
    <w:lvl w:ilvl="0">
      <w:start w:val="1"/>
      <w:numFmt w:val="bullet"/>
      <w:lvlText w:val="●"/>
      <w:lvlJc w:val="left"/>
      <w:pPr>
        <w:ind w:left="720" w:hanging="360"/>
      </w:pPr>
      <w:rPr>
        <w:rFonts w:ascii="Noto Sans Symbols" w:eastAsia="Noto Sans Symbols" w:hAnsi="Noto Sans Symbols" w:cs="Noto Sans Symbols"/>
      </w:rPr>
    </w:lvl>
    <w:lvl w:ilvl="1">
      <w:start w:val="1"/>
      <w:numFmt w:val="bullet"/>
      <w:lvlText w:val="o"/>
      <w:lvlJc w:val="left"/>
      <w:pPr>
        <w:ind w:left="1440" w:hanging="360"/>
      </w:pPr>
      <w:rPr>
        <w:rFonts w:ascii="Courier New" w:eastAsia="Courier New" w:hAnsi="Courier New" w:cs="Courier New"/>
      </w:rPr>
    </w:lvl>
    <w:lvl w:ilvl="2">
      <w:start w:val="1"/>
      <w:numFmt w:val="bullet"/>
      <w:lvlText w:val="▪"/>
      <w:lvlJc w:val="left"/>
      <w:pPr>
        <w:ind w:left="2160" w:hanging="360"/>
      </w:pPr>
      <w:rPr>
        <w:rFonts w:ascii="Noto Sans Symbols" w:eastAsia="Noto Sans Symbols" w:hAnsi="Noto Sans Symbols" w:cs="Noto Sans Symbols"/>
      </w:rPr>
    </w:lvl>
    <w:lvl w:ilvl="3">
      <w:start w:val="1"/>
      <w:numFmt w:val="bullet"/>
      <w:lvlText w:val="●"/>
      <w:lvlJc w:val="left"/>
      <w:pPr>
        <w:ind w:left="2880" w:hanging="360"/>
      </w:pPr>
      <w:rPr>
        <w:rFonts w:ascii="Noto Sans Symbols" w:eastAsia="Noto Sans Symbols" w:hAnsi="Noto Sans Symbols" w:cs="Noto Sans Symbols"/>
      </w:rPr>
    </w:lvl>
    <w:lvl w:ilvl="4">
      <w:start w:val="1"/>
      <w:numFmt w:val="bullet"/>
      <w:lvlText w:val="o"/>
      <w:lvlJc w:val="left"/>
      <w:pPr>
        <w:ind w:left="3600" w:hanging="360"/>
      </w:pPr>
      <w:rPr>
        <w:rFonts w:ascii="Courier New" w:eastAsia="Courier New" w:hAnsi="Courier New" w:cs="Courier New"/>
      </w:rPr>
    </w:lvl>
    <w:lvl w:ilvl="5">
      <w:start w:val="1"/>
      <w:numFmt w:val="bullet"/>
      <w:lvlText w:val="▪"/>
      <w:lvlJc w:val="left"/>
      <w:pPr>
        <w:ind w:left="4320" w:hanging="360"/>
      </w:pPr>
      <w:rPr>
        <w:rFonts w:ascii="Noto Sans Symbols" w:eastAsia="Noto Sans Symbols" w:hAnsi="Noto Sans Symbols" w:cs="Noto Sans Symbols"/>
      </w:rPr>
    </w:lvl>
    <w:lvl w:ilvl="6">
      <w:start w:val="1"/>
      <w:numFmt w:val="bullet"/>
      <w:lvlText w:val="●"/>
      <w:lvlJc w:val="left"/>
      <w:pPr>
        <w:ind w:left="5040" w:hanging="360"/>
      </w:pPr>
      <w:rPr>
        <w:rFonts w:ascii="Noto Sans Symbols" w:eastAsia="Noto Sans Symbols" w:hAnsi="Noto Sans Symbols" w:cs="Noto Sans Symbols"/>
      </w:rPr>
    </w:lvl>
    <w:lvl w:ilvl="7">
      <w:start w:val="1"/>
      <w:numFmt w:val="bullet"/>
      <w:lvlText w:val="o"/>
      <w:lvlJc w:val="left"/>
      <w:pPr>
        <w:ind w:left="5760" w:hanging="360"/>
      </w:pPr>
      <w:rPr>
        <w:rFonts w:ascii="Courier New" w:eastAsia="Courier New" w:hAnsi="Courier New" w:cs="Courier New"/>
      </w:rPr>
    </w:lvl>
    <w:lvl w:ilvl="8">
      <w:start w:val="1"/>
      <w:numFmt w:val="bullet"/>
      <w:lvlText w:val="▪"/>
      <w:lvlJc w:val="left"/>
      <w:pPr>
        <w:ind w:left="6480" w:hanging="360"/>
      </w:pPr>
      <w:rPr>
        <w:rFonts w:ascii="Noto Sans Symbols" w:eastAsia="Noto Sans Symbols" w:hAnsi="Noto Sans Symbols" w:cs="Noto Sans Symbols"/>
      </w:rPr>
    </w:lvl>
  </w:abstractNum>
  <w:num w:numId="1">
    <w:abstractNumId w:val="2"/>
  </w:num>
  <w:num w:numId="2">
    <w:abstractNumId w:val="0"/>
  </w:num>
  <w:num w:numId="3">
    <w:abstractNumId w:val="1"/>
  </w:num>
  <w:num w:numId="4">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B3366"/>
    <w:rsid w:val="0009023E"/>
    <w:rsid w:val="00116617"/>
    <w:rsid w:val="001246A1"/>
    <w:rsid w:val="00153430"/>
    <w:rsid w:val="001B5BE8"/>
    <w:rsid w:val="002859B6"/>
    <w:rsid w:val="00294141"/>
    <w:rsid w:val="005B40F3"/>
    <w:rsid w:val="0068772C"/>
    <w:rsid w:val="008416A0"/>
    <w:rsid w:val="00882BCA"/>
    <w:rsid w:val="008D1B76"/>
    <w:rsid w:val="008E3123"/>
    <w:rsid w:val="009450AB"/>
    <w:rsid w:val="00985E34"/>
    <w:rsid w:val="00B70C3A"/>
    <w:rsid w:val="00CA4FF5"/>
    <w:rsid w:val="00E14EEE"/>
    <w:rsid w:val="00E36FDB"/>
    <w:rsid w:val="00EB7F1A"/>
    <w:rsid w:val="00F40390"/>
    <w:rsid w:val="00FB3366"/>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1BFF8ED"/>
  <w15:docId w15:val="{477C97C9-5888-46F5-B70C-23370A8F31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alibri" w:eastAsia="Calibri" w:hAnsi="Calibri" w:cs="Calibri"/>
        <w:sz w:val="22"/>
        <w:szCs w:val="22"/>
        <w:lang w:val="en-GB" w:eastAsia="zh-CN" w:bidi="ar-SA"/>
      </w:rPr>
    </w:rPrDefault>
    <w:pPrDefault>
      <w:pPr>
        <w:spacing w:after="200" w:line="276" w:lineRule="auto"/>
      </w:pPr>
    </w:pPrDefault>
  </w:docDefaults>
  <w:latentStyles w:defLockedState="0" w:defUIPriority="99" w:defSemiHidden="0" w:defUnhideWhenUsed="0" w:defQFormat="0" w:count="377">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style>
  <w:style w:type="paragraph" w:styleId="Heading1">
    <w:name w:val="heading 1"/>
    <w:basedOn w:val="Normal"/>
    <w:next w:val="Normal"/>
    <w:uiPriority w:val="9"/>
    <w:qFormat/>
    <w:pPr>
      <w:keepNext/>
      <w:keepLines/>
      <w:spacing w:before="480" w:after="120"/>
      <w:outlineLvl w:val="0"/>
    </w:pPr>
    <w:rPr>
      <w:b/>
      <w:sz w:val="48"/>
      <w:szCs w:val="48"/>
    </w:rPr>
  </w:style>
  <w:style w:type="paragraph" w:styleId="Heading2">
    <w:name w:val="heading 2"/>
    <w:basedOn w:val="Normal"/>
    <w:next w:val="Normal"/>
    <w:uiPriority w:val="9"/>
    <w:semiHidden/>
    <w:unhideWhenUsed/>
    <w:qFormat/>
    <w:pPr>
      <w:keepNext/>
      <w:keepLines/>
      <w:spacing w:before="360" w:after="80"/>
      <w:outlineLvl w:val="1"/>
    </w:pPr>
    <w:rPr>
      <w:b/>
      <w:sz w:val="36"/>
      <w:szCs w:val="36"/>
    </w:rPr>
  </w:style>
  <w:style w:type="paragraph" w:styleId="Heading3">
    <w:name w:val="heading 3"/>
    <w:basedOn w:val="Normal"/>
    <w:next w:val="Normal"/>
    <w:uiPriority w:val="9"/>
    <w:semiHidden/>
    <w:unhideWhenUsed/>
    <w:qFormat/>
    <w:pPr>
      <w:keepNext/>
      <w:keepLines/>
      <w:spacing w:before="280" w:after="80"/>
      <w:outlineLvl w:val="2"/>
    </w:pPr>
    <w:rPr>
      <w:b/>
      <w:sz w:val="28"/>
      <w:szCs w:val="28"/>
    </w:rPr>
  </w:style>
  <w:style w:type="paragraph" w:styleId="Heading4">
    <w:name w:val="heading 4"/>
    <w:basedOn w:val="Normal"/>
    <w:next w:val="Normal"/>
    <w:uiPriority w:val="9"/>
    <w:semiHidden/>
    <w:unhideWhenUsed/>
    <w:qFormat/>
    <w:pPr>
      <w:keepNext/>
      <w:keepLines/>
      <w:spacing w:before="240" w:after="40"/>
      <w:outlineLvl w:val="3"/>
    </w:pPr>
    <w:rPr>
      <w:b/>
      <w:sz w:val="24"/>
      <w:szCs w:val="24"/>
    </w:rPr>
  </w:style>
  <w:style w:type="paragraph" w:styleId="Heading5">
    <w:name w:val="heading 5"/>
    <w:basedOn w:val="Normal"/>
    <w:next w:val="Normal"/>
    <w:uiPriority w:val="9"/>
    <w:semiHidden/>
    <w:unhideWhenUsed/>
    <w:qFormat/>
    <w:pPr>
      <w:keepNext/>
      <w:keepLines/>
      <w:spacing w:before="220" w:after="40"/>
      <w:outlineLvl w:val="4"/>
    </w:pPr>
    <w:rPr>
      <w:b/>
    </w:rPr>
  </w:style>
  <w:style w:type="paragraph" w:styleId="Heading6">
    <w:name w:val="heading 6"/>
    <w:basedOn w:val="Normal"/>
    <w:next w:val="Normal"/>
    <w:uiPriority w:val="9"/>
    <w:semiHidden/>
    <w:unhideWhenUsed/>
    <w:qFormat/>
    <w:pPr>
      <w:keepNext/>
      <w:keepLines/>
      <w:spacing w:before="200" w:after="40"/>
      <w:outlineLvl w:val="5"/>
    </w:pPr>
    <w:rPr>
      <w:b/>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uiPriority w:val="10"/>
    <w:qFormat/>
    <w:pPr>
      <w:keepNext/>
      <w:keepLines/>
      <w:spacing w:before="480" w:after="120"/>
    </w:pPr>
    <w:rPr>
      <w:b/>
      <w:sz w:val="72"/>
      <w:szCs w:val="72"/>
    </w:rPr>
  </w:style>
  <w:style w:type="paragraph" w:styleId="Subtitle">
    <w:name w:val="Subtitle"/>
    <w:basedOn w:val="Normal"/>
    <w:next w:val="Normal"/>
    <w:uiPriority w:val="11"/>
    <w:qFormat/>
    <w:pPr>
      <w:keepNext/>
      <w:keepLines/>
      <w:spacing w:before="360" w:after="80"/>
    </w:pPr>
    <w:rPr>
      <w:rFonts w:ascii="Georgia" w:eastAsia="Georgia" w:hAnsi="Georgia" w:cs="Georgia"/>
      <w:i/>
      <w:color w:val="666666"/>
      <w:sz w:val="48"/>
      <w:szCs w:val="48"/>
    </w:rPr>
  </w:style>
  <w:style w:type="paragraph" w:styleId="ListParagraph">
    <w:name w:val="List Paragraph"/>
    <w:aliases w:val="EOH bullet,Use Case List Paragraph,EOH paragraph,List Paragraph1,Table (List),Indent Paragraph,List Paragraph 1,Green bullet,lp1,lp11,Bullet List,FooterText,numbered,Paragraphe de liste1,Bulletr List Paragraph,列出段落,列出段落1,Bullet 1,Liste 1"/>
    <w:basedOn w:val="Normal"/>
    <w:link w:val="ListParagraphChar"/>
    <w:uiPriority w:val="34"/>
    <w:qFormat/>
    <w:rsid w:val="00116617"/>
    <w:pPr>
      <w:ind w:left="720"/>
      <w:contextualSpacing/>
    </w:pPr>
  </w:style>
  <w:style w:type="character" w:styleId="CommentReference">
    <w:name w:val="annotation reference"/>
    <w:basedOn w:val="DefaultParagraphFont"/>
    <w:uiPriority w:val="99"/>
    <w:semiHidden/>
    <w:unhideWhenUsed/>
    <w:rsid w:val="00E36FDB"/>
    <w:rPr>
      <w:sz w:val="16"/>
      <w:szCs w:val="16"/>
    </w:rPr>
  </w:style>
  <w:style w:type="paragraph" w:styleId="CommentText">
    <w:name w:val="annotation text"/>
    <w:basedOn w:val="Normal"/>
    <w:link w:val="CommentTextChar"/>
    <w:uiPriority w:val="99"/>
    <w:semiHidden/>
    <w:unhideWhenUsed/>
    <w:rsid w:val="00E36FDB"/>
    <w:pPr>
      <w:spacing w:line="240" w:lineRule="auto"/>
    </w:pPr>
    <w:rPr>
      <w:sz w:val="20"/>
      <w:szCs w:val="20"/>
    </w:rPr>
  </w:style>
  <w:style w:type="character" w:customStyle="1" w:styleId="CommentTextChar">
    <w:name w:val="Comment Text Char"/>
    <w:basedOn w:val="DefaultParagraphFont"/>
    <w:link w:val="CommentText"/>
    <w:uiPriority w:val="99"/>
    <w:semiHidden/>
    <w:rsid w:val="00E36FDB"/>
    <w:rPr>
      <w:sz w:val="20"/>
      <w:szCs w:val="20"/>
    </w:rPr>
  </w:style>
  <w:style w:type="paragraph" w:styleId="CommentSubject">
    <w:name w:val="annotation subject"/>
    <w:basedOn w:val="CommentText"/>
    <w:next w:val="CommentText"/>
    <w:link w:val="CommentSubjectChar"/>
    <w:uiPriority w:val="99"/>
    <w:semiHidden/>
    <w:unhideWhenUsed/>
    <w:rsid w:val="00E36FDB"/>
    <w:rPr>
      <w:b/>
      <w:bCs/>
    </w:rPr>
  </w:style>
  <w:style w:type="character" w:customStyle="1" w:styleId="CommentSubjectChar">
    <w:name w:val="Comment Subject Char"/>
    <w:basedOn w:val="CommentTextChar"/>
    <w:link w:val="CommentSubject"/>
    <w:uiPriority w:val="99"/>
    <w:semiHidden/>
    <w:rsid w:val="00E36FDB"/>
    <w:rPr>
      <w:b/>
      <w:bCs/>
      <w:sz w:val="20"/>
      <w:szCs w:val="20"/>
    </w:rPr>
  </w:style>
  <w:style w:type="paragraph" w:styleId="BalloonText">
    <w:name w:val="Balloon Text"/>
    <w:basedOn w:val="Normal"/>
    <w:link w:val="BalloonTextChar"/>
    <w:uiPriority w:val="99"/>
    <w:semiHidden/>
    <w:unhideWhenUsed/>
    <w:rsid w:val="00E36FDB"/>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E36FDB"/>
    <w:rPr>
      <w:rFonts w:ascii="Segoe UI" w:hAnsi="Segoe UI" w:cs="Segoe UI"/>
      <w:sz w:val="18"/>
      <w:szCs w:val="18"/>
    </w:rPr>
  </w:style>
  <w:style w:type="paragraph" w:styleId="FootnoteText">
    <w:name w:val="footnote text"/>
    <w:basedOn w:val="Normal"/>
    <w:link w:val="FootnoteTextChar"/>
    <w:uiPriority w:val="99"/>
    <w:semiHidden/>
    <w:unhideWhenUsed/>
    <w:rsid w:val="001B5BE8"/>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1B5BE8"/>
    <w:rPr>
      <w:sz w:val="20"/>
      <w:szCs w:val="20"/>
    </w:rPr>
  </w:style>
  <w:style w:type="character" w:styleId="FootnoteReference">
    <w:name w:val="footnote reference"/>
    <w:basedOn w:val="DefaultParagraphFont"/>
    <w:uiPriority w:val="99"/>
    <w:semiHidden/>
    <w:unhideWhenUsed/>
    <w:rsid w:val="001B5BE8"/>
    <w:rPr>
      <w:vertAlign w:val="superscript"/>
    </w:rPr>
  </w:style>
  <w:style w:type="character" w:customStyle="1" w:styleId="ListParagraphChar">
    <w:name w:val="List Paragraph Char"/>
    <w:aliases w:val="EOH bullet Char,Use Case List Paragraph Char,EOH paragraph Char,List Paragraph1 Char,Table (List) Char,Indent Paragraph Char,List Paragraph 1 Char,Green bullet Char,lp1 Char,lp11 Char,Bullet List Char,FooterText Char,numbered Char"/>
    <w:basedOn w:val="DefaultParagraphFont"/>
    <w:link w:val="ListParagraph"/>
    <w:uiPriority w:val="34"/>
    <w:locked/>
    <w:rsid w:val="0015343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hyperlink" Target="https://sdgpulse.unctad.org/investment/" TargetMode="Externa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209DC10-14AB-46EA-9BDE-288C21CAB9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2</Pages>
  <Words>1077</Words>
  <Characters>6140</Characters>
  <Application>Microsoft Office Word</Application>
  <DocSecurity>0</DocSecurity>
  <Lines>51</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7203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Anu Peltola</dc:creator>
  <cp:lastModifiedBy>Anu Peltola</cp:lastModifiedBy>
  <cp:revision>4</cp:revision>
  <dcterms:created xsi:type="dcterms:W3CDTF">2019-11-14T16:42:00Z</dcterms:created>
  <dcterms:modified xsi:type="dcterms:W3CDTF">2019-11-14T16:52:00Z</dcterms:modified>
</cp:coreProperties>
</file>